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DF4" w:rsidRDefault="00C10DF4" w:rsidP="00C10DF4">
      <w:pPr>
        <w:rPr>
          <w:b/>
        </w:rPr>
      </w:pPr>
      <w:r>
        <w:rPr>
          <w:b/>
        </w:rPr>
        <w:t>Calibration and Scenarios Webinar: Questions for Stakeholders</w:t>
      </w:r>
    </w:p>
    <w:p w:rsidR="00C10DF4" w:rsidRDefault="00C10DF4" w:rsidP="00C10DF4">
      <w:pPr>
        <w:rPr>
          <w:b/>
        </w:rPr>
      </w:pPr>
      <w:r>
        <w:rPr>
          <w:b/>
        </w:rPr>
        <w:t xml:space="preserve">PG&amp;E Responses: </w:t>
      </w:r>
    </w:p>
    <w:p w:rsidR="00C10DF4" w:rsidRPr="00E96D13" w:rsidRDefault="00C10DF4" w:rsidP="00C10DF4">
      <w:pPr>
        <w:rPr>
          <w:u w:val="single"/>
        </w:rPr>
      </w:pPr>
      <w:r w:rsidRPr="00E96D13">
        <w:rPr>
          <w:u w:val="single"/>
        </w:rPr>
        <w:t>Calibration</w:t>
      </w:r>
    </w:p>
    <w:p w:rsidR="003629D9" w:rsidRDefault="00C10DF4" w:rsidP="00C10DF4">
      <w:pPr>
        <w:pStyle w:val="ListParagraph"/>
        <w:numPr>
          <w:ilvl w:val="0"/>
          <w:numId w:val="1"/>
        </w:numPr>
      </w:pPr>
      <w:r w:rsidRPr="00C10DF4">
        <w:t>Any feedback on our proposed approach to calibrate using budget</w:t>
      </w:r>
      <w:r>
        <w:t>?</w:t>
      </w:r>
    </w:p>
    <w:p w:rsidR="00094D0B" w:rsidRDefault="00094D0B" w:rsidP="00E96D13">
      <w:pPr>
        <w:pStyle w:val="ListParagraph"/>
      </w:pPr>
    </w:p>
    <w:p w:rsidR="00E96D13" w:rsidRDefault="00666CB7" w:rsidP="00E96D13">
      <w:pPr>
        <w:pStyle w:val="ListParagraph"/>
      </w:pPr>
      <w:r w:rsidRPr="00666CB7">
        <w:rPr>
          <w:b/>
        </w:rPr>
        <w:t>PG&amp;E response</w:t>
      </w:r>
      <w:r>
        <w:t xml:space="preserve">: </w:t>
      </w:r>
      <w:r w:rsidR="00094D0B">
        <w:t>A budget calibration approach seems reasonable.  H</w:t>
      </w:r>
      <w:r w:rsidR="00E96D13">
        <w:t xml:space="preserve">owever, with recent avoided cost updates, PA budgets could change more dramatically than is typical.  </w:t>
      </w:r>
      <w:r w:rsidR="00094D0B">
        <w:t>It’s important to PG&amp;E that goals are set based on what is cost-effectively achievable.  Should savings levels associated with recent budgets not align with what is cost-effectively achievable, then adjustments should be made in the calibration process to correct for this.</w:t>
      </w:r>
    </w:p>
    <w:p w:rsidR="00C10DF4" w:rsidRPr="00E96D13" w:rsidRDefault="00C10DF4" w:rsidP="00C10DF4">
      <w:pPr>
        <w:rPr>
          <w:u w:val="single"/>
        </w:rPr>
      </w:pPr>
      <w:r w:rsidRPr="00E96D13">
        <w:rPr>
          <w:u w:val="single"/>
        </w:rPr>
        <w:t>Cost-Effectiveness (Scenarios)</w:t>
      </w:r>
    </w:p>
    <w:p w:rsidR="00C10DF4" w:rsidRDefault="00C10DF4" w:rsidP="00C10DF4">
      <w:pPr>
        <w:pStyle w:val="ListParagraph"/>
        <w:numPr>
          <w:ilvl w:val="0"/>
          <w:numId w:val="2"/>
        </w:numPr>
      </w:pPr>
      <w:r>
        <w:t>We previously only used the TRC test to screen measures. What are the pros/cons of using other tests beyond the TRC?</w:t>
      </w:r>
    </w:p>
    <w:p w:rsidR="00094D0B" w:rsidRDefault="00094D0B" w:rsidP="00094D0B">
      <w:pPr>
        <w:pStyle w:val="ListParagraph"/>
      </w:pPr>
    </w:p>
    <w:p w:rsidR="00094D0B" w:rsidRDefault="00666CB7" w:rsidP="00094D0B">
      <w:pPr>
        <w:pStyle w:val="ListParagraph"/>
      </w:pPr>
      <w:r w:rsidRPr="00666CB7">
        <w:rPr>
          <w:b/>
        </w:rPr>
        <w:t>PG&amp;E response</w:t>
      </w:r>
      <w:r>
        <w:t xml:space="preserve">: </w:t>
      </w:r>
      <w:r w:rsidR="00094D0B">
        <w:t xml:space="preserve">PG&amp;E believes scenarios will be a useful tool for assessing </w:t>
      </w:r>
      <w:r w:rsidR="00B656DE">
        <w:t>the state’s ability to meet SB350 goals.  With this said, it’s also</w:t>
      </w:r>
      <w:r w:rsidR="00094D0B">
        <w:t xml:space="preserve"> important to PG&amp;E that goals are set based on what is cost-effectively achievable.  Screening measures based on different cost-effectiveness practices </w:t>
      </w:r>
      <w:r w:rsidR="00B656DE">
        <w:t>is okay so long as the goals assigned to the IOUs are aligned with the policy that the IOUs will have to follow when operating their portfolios</w:t>
      </w:r>
      <w:r w:rsidR="00094D0B">
        <w:t>.</w:t>
      </w:r>
    </w:p>
    <w:p w:rsidR="00094D0B" w:rsidRDefault="00094D0B" w:rsidP="00094D0B">
      <w:pPr>
        <w:pStyle w:val="ListParagraph"/>
      </w:pPr>
    </w:p>
    <w:p w:rsidR="00C10DF4" w:rsidRDefault="00C10DF4" w:rsidP="00C10DF4">
      <w:pPr>
        <w:pStyle w:val="ListParagraph"/>
        <w:numPr>
          <w:ilvl w:val="0"/>
          <w:numId w:val="2"/>
        </w:numPr>
      </w:pPr>
      <w:r>
        <w:t>What should the threshold be? Past threshold was TRC = 0.85 (with allowance of 0.5 for Emerging Tech)</w:t>
      </w:r>
    </w:p>
    <w:p w:rsidR="00094D0B" w:rsidRDefault="00094D0B" w:rsidP="00094D0B">
      <w:pPr>
        <w:pStyle w:val="ListParagraph"/>
      </w:pPr>
    </w:p>
    <w:p w:rsidR="00094D0B" w:rsidRDefault="00666CB7" w:rsidP="00094D0B">
      <w:pPr>
        <w:pStyle w:val="ListParagraph"/>
      </w:pPr>
      <w:r w:rsidRPr="00666CB7">
        <w:rPr>
          <w:b/>
        </w:rPr>
        <w:t>PG&amp;E response</w:t>
      </w:r>
      <w:r>
        <w:t xml:space="preserve">: </w:t>
      </w:r>
      <w:r w:rsidR="00094D0B">
        <w:t>Existing thresholds are reasonable.  This compensates for the fact that the model is not an optimization in which a portfolio can be built with some measures that have a TRC of less than 1, as long as the overall portfolio is cost-effective.</w:t>
      </w:r>
    </w:p>
    <w:p w:rsidR="00094D0B" w:rsidRDefault="00094D0B" w:rsidP="00094D0B">
      <w:pPr>
        <w:pStyle w:val="ListParagraph"/>
      </w:pPr>
    </w:p>
    <w:p w:rsidR="00C10DF4" w:rsidRDefault="00C10DF4" w:rsidP="00C10DF4">
      <w:pPr>
        <w:pStyle w:val="ListParagraph"/>
        <w:numPr>
          <w:ilvl w:val="0"/>
          <w:numId w:val="2"/>
        </w:numPr>
      </w:pPr>
      <w:r>
        <w:t>Should the threshold vary by technology?</w:t>
      </w:r>
    </w:p>
    <w:p w:rsidR="007B6342" w:rsidRDefault="007B6342" w:rsidP="007B6342">
      <w:pPr>
        <w:pStyle w:val="ListParagraph"/>
      </w:pPr>
    </w:p>
    <w:p w:rsidR="007B6342" w:rsidRDefault="00666CB7" w:rsidP="007B6342">
      <w:pPr>
        <w:pStyle w:val="ListParagraph"/>
      </w:pPr>
      <w:r w:rsidRPr="00666CB7">
        <w:rPr>
          <w:b/>
        </w:rPr>
        <w:t>PG&amp;E response</w:t>
      </w:r>
      <w:r>
        <w:t xml:space="preserve">: </w:t>
      </w:r>
      <w:r w:rsidR="007B6342">
        <w:t>It’s not clear to PG&amp;E what this would contribute.</w:t>
      </w:r>
    </w:p>
    <w:p w:rsidR="00C10DF4" w:rsidRPr="00E96D13" w:rsidRDefault="00C10DF4" w:rsidP="00C10DF4">
      <w:pPr>
        <w:rPr>
          <w:u w:val="single"/>
        </w:rPr>
      </w:pPr>
      <w:r w:rsidRPr="00E96D13">
        <w:rPr>
          <w:u w:val="single"/>
        </w:rPr>
        <w:t>Incentive Levels (Scenarios)</w:t>
      </w:r>
    </w:p>
    <w:p w:rsidR="00C10DF4" w:rsidRDefault="00C10DF4" w:rsidP="00C10DF4">
      <w:pPr>
        <w:pStyle w:val="ListParagraph"/>
        <w:numPr>
          <w:ilvl w:val="0"/>
          <w:numId w:val="3"/>
        </w:numPr>
      </w:pPr>
      <w:r>
        <w:t>Is a $/savings approach (similar to that implemented in the AB 802 Technical Analysis) appropriate for the reference case?</w:t>
      </w:r>
    </w:p>
    <w:p w:rsidR="007B6342" w:rsidRDefault="007B6342" w:rsidP="007B6342">
      <w:pPr>
        <w:pStyle w:val="ListParagraph"/>
      </w:pPr>
    </w:p>
    <w:p w:rsidR="007B6342" w:rsidRDefault="00666CB7" w:rsidP="007B6342">
      <w:pPr>
        <w:pStyle w:val="ListParagraph"/>
      </w:pPr>
      <w:r w:rsidRPr="00666CB7">
        <w:rPr>
          <w:b/>
        </w:rPr>
        <w:t>PG&amp;E response</w:t>
      </w:r>
      <w:r>
        <w:t xml:space="preserve">: </w:t>
      </w:r>
      <w:r w:rsidR="007B6342">
        <w:t>Yes.</w:t>
      </w:r>
    </w:p>
    <w:p w:rsidR="007B6342" w:rsidRDefault="007B6342" w:rsidP="007B6342">
      <w:pPr>
        <w:pStyle w:val="ListParagraph"/>
      </w:pPr>
    </w:p>
    <w:p w:rsidR="00C10DF4" w:rsidRDefault="00C10DF4" w:rsidP="00C10DF4">
      <w:pPr>
        <w:pStyle w:val="ListParagraph"/>
        <w:numPr>
          <w:ilvl w:val="0"/>
          <w:numId w:val="3"/>
        </w:numPr>
      </w:pPr>
      <w:r>
        <w:t>Should different scenarios consider different rebate levels?</w:t>
      </w:r>
    </w:p>
    <w:p w:rsidR="007B6342" w:rsidRDefault="007B6342" w:rsidP="007B6342">
      <w:pPr>
        <w:pStyle w:val="ListParagraph"/>
      </w:pPr>
    </w:p>
    <w:p w:rsidR="007B6342" w:rsidRDefault="00666CB7" w:rsidP="007B6342">
      <w:pPr>
        <w:pStyle w:val="ListParagraph"/>
      </w:pPr>
      <w:r w:rsidRPr="00666CB7">
        <w:rPr>
          <w:b/>
        </w:rPr>
        <w:t>PG&amp;E response</w:t>
      </w:r>
      <w:r>
        <w:t xml:space="preserve">: </w:t>
      </w:r>
      <w:r w:rsidR="007B6342">
        <w:t>Yes, this is reasonable.</w:t>
      </w:r>
    </w:p>
    <w:p w:rsidR="007B6342" w:rsidRDefault="007B6342" w:rsidP="007B6342">
      <w:pPr>
        <w:pStyle w:val="ListParagraph"/>
      </w:pPr>
    </w:p>
    <w:p w:rsidR="00C10DF4" w:rsidRDefault="00C10DF4" w:rsidP="00C10DF4">
      <w:pPr>
        <w:pStyle w:val="ListParagraph"/>
        <w:numPr>
          <w:ilvl w:val="0"/>
          <w:numId w:val="3"/>
        </w:numPr>
      </w:pPr>
      <w:r>
        <w:t>If yes, what is the appropriate range of rebates to consider?</w:t>
      </w:r>
    </w:p>
    <w:p w:rsidR="007B6342" w:rsidRDefault="007B6342" w:rsidP="007B6342">
      <w:pPr>
        <w:pStyle w:val="ListParagraph"/>
      </w:pPr>
    </w:p>
    <w:p w:rsidR="007B6342" w:rsidRDefault="00666CB7" w:rsidP="007B6342">
      <w:pPr>
        <w:pStyle w:val="ListParagraph"/>
      </w:pPr>
      <w:r w:rsidRPr="00666CB7">
        <w:rPr>
          <w:b/>
        </w:rPr>
        <w:t>PG&amp;E response</w:t>
      </w:r>
      <w:r>
        <w:t xml:space="preserve">: </w:t>
      </w:r>
      <w:r w:rsidR="007B6342">
        <w:t>The default in previous models was 50%.  It would be reasonable for a high scenario to use up to 75% and a low scenario to use something as low as 25%.</w:t>
      </w:r>
    </w:p>
    <w:p w:rsidR="00C10DF4" w:rsidRPr="00E96D13" w:rsidRDefault="00C10DF4" w:rsidP="00C10DF4">
      <w:pPr>
        <w:rPr>
          <w:u w:val="single"/>
        </w:rPr>
      </w:pPr>
      <w:r w:rsidRPr="00E96D13">
        <w:rPr>
          <w:u w:val="single"/>
        </w:rPr>
        <w:t>Financing / Willingness (Scenarios)</w:t>
      </w:r>
    </w:p>
    <w:p w:rsidR="00C10DF4" w:rsidRDefault="00C10DF4" w:rsidP="00C10DF4">
      <w:pPr>
        <w:pStyle w:val="ListParagraph"/>
        <w:numPr>
          <w:ilvl w:val="0"/>
          <w:numId w:val="5"/>
        </w:numPr>
      </w:pPr>
      <w:r>
        <w:t>Is the energy efficiency financing industry primarily driven by IOU activities or by other market forces?</w:t>
      </w:r>
    </w:p>
    <w:p w:rsidR="00666CB7" w:rsidRDefault="00666CB7" w:rsidP="00666CB7">
      <w:pPr>
        <w:pStyle w:val="ListParagraph"/>
      </w:pPr>
    </w:p>
    <w:p w:rsidR="00AB1C9C" w:rsidRDefault="00666CB7" w:rsidP="00AB1C9C">
      <w:pPr>
        <w:pStyle w:val="ListParagraph"/>
      </w:pPr>
      <w:r w:rsidRPr="00666CB7">
        <w:rPr>
          <w:b/>
        </w:rPr>
        <w:t>PG&amp;E response</w:t>
      </w:r>
      <w:r>
        <w:t xml:space="preserve">: </w:t>
      </w:r>
      <w:r w:rsidR="00AB1C9C">
        <w:t xml:space="preserve"> </w:t>
      </w:r>
      <w:r w:rsidR="00AB1C9C">
        <w:t>To date</w:t>
      </w:r>
      <w:r w:rsidR="00AB1C9C">
        <w:t>, IOU activities are not driving the energy efficiency financing industry.</w:t>
      </w:r>
      <w:r w:rsidR="00AB1C9C">
        <w:t xml:space="preserve"> In the residential sector</w:t>
      </w:r>
      <w:r w:rsidR="00AB1C9C">
        <w:t>,</w:t>
      </w:r>
      <w:r w:rsidR="00AB1C9C">
        <w:t xml:space="preserve"> PACE </w:t>
      </w:r>
      <w:r w:rsidR="00AB1C9C">
        <w:t>financing has been the most sig</w:t>
      </w:r>
      <w:r w:rsidR="00AB1C9C">
        <w:t>nificant financing too</w:t>
      </w:r>
      <w:r w:rsidR="00AB1C9C">
        <w:t>l. I</w:t>
      </w:r>
      <w:r w:rsidR="00AB1C9C">
        <w:t>n the non-res</w:t>
      </w:r>
      <w:r w:rsidR="00AB1C9C">
        <w:t>idential</w:t>
      </w:r>
      <w:r w:rsidR="00AB1C9C">
        <w:t xml:space="preserve"> sector</w:t>
      </w:r>
      <w:r w:rsidR="00AB1C9C">
        <w:t>,</w:t>
      </w:r>
      <w:r w:rsidR="00AB1C9C">
        <w:t xml:space="preserve"> ESCOs have performed the largest volume. </w:t>
      </w:r>
    </w:p>
    <w:p w:rsidR="00AB1C9C" w:rsidRDefault="00AB1C9C" w:rsidP="00AB1C9C">
      <w:pPr>
        <w:pStyle w:val="ListParagraph"/>
      </w:pPr>
    </w:p>
    <w:p w:rsidR="00AB1C9C" w:rsidRDefault="00AB1C9C" w:rsidP="00AB1C9C">
      <w:pPr>
        <w:pStyle w:val="ListParagraph"/>
      </w:pPr>
      <w:r>
        <w:t>However, PG&amp;E</w:t>
      </w:r>
      <w:r>
        <w:t xml:space="preserve"> believe</w:t>
      </w:r>
      <w:r>
        <w:t>s</w:t>
      </w:r>
      <w:r>
        <w:t xml:space="preserve"> that the IOUs do have a part to play in meeting the nee</w:t>
      </w:r>
      <w:r w:rsidR="003F075A">
        <w:t xml:space="preserve">ds of underserved customers and </w:t>
      </w:r>
      <w:r>
        <w:t>ensuring that the financ</w:t>
      </w:r>
      <w:r w:rsidR="003F075A">
        <w:t>ing leads to</w:t>
      </w:r>
      <w:r>
        <w:t xml:space="preserve"> actual energy savings (it is uncertain what impact PACE has). </w:t>
      </w:r>
    </w:p>
    <w:p w:rsidR="00AB1C9C" w:rsidRDefault="00AB1C9C" w:rsidP="00AB1C9C">
      <w:pPr>
        <w:pStyle w:val="ListParagraph"/>
      </w:pPr>
    </w:p>
    <w:p w:rsidR="00AB1C9C" w:rsidRDefault="003F075A" w:rsidP="00AB1C9C">
      <w:pPr>
        <w:pStyle w:val="ListParagraph"/>
      </w:pPr>
      <w:r>
        <w:t>Sectors PG&amp;E</w:t>
      </w:r>
      <w:r w:rsidR="00AB1C9C">
        <w:t xml:space="preserve"> see</w:t>
      </w:r>
      <w:r>
        <w:t xml:space="preserve">s as underserved include </w:t>
      </w:r>
    </w:p>
    <w:p w:rsidR="00AB1C9C" w:rsidRDefault="00AB1C9C" w:rsidP="00AB1C9C">
      <w:pPr>
        <w:pStyle w:val="ListParagraph"/>
      </w:pPr>
      <w:r>
        <w:t>- Low income</w:t>
      </w:r>
    </w:p>
    <w:p w:rsidR="00AB1C9C" w:rsidRDefault="00AB1C9C" w:rsidP="00AB1C9C">
      <w:pPr>
        <w:pStyle w:val="ListParagraph"/>
      </w:pPr>
      <w:r>
        <w:t xml:space="preserve">- Multifamily </w:t>
      </w:r>
    </w:p>
    <w:p w:rsidR="00AB1C9C" w:rsidRDefault="00AB1C9C" w:rsidP="00AB1C9C">
      <w:pPr>
        <w:pStyle w:val="ListParagraph"/>
      </w:pPr>
      <w:r>
        <w:t>- SMB</w:t>
      </w:r>
    </w:p>
    <w:p w:rsidR="00AB1C9C" w:rsidRDefault="00AB1C9C" w:rsidP="00AB1C9C">
      <w:pPr>
        <w:pStyle w:val="ListParagraph"/>
      </w:pPr>
      <w:r>
        <w:t>- Governmental orgs with debt restrictions</w:t>
      </w:r>
    </w:p>
    <w:p w:rsidR="00AB1C9C" w:rsidRDefault="003F075A" w:rsidP="00AB1C9C">
      <w:pPr>
        <w:pStyle w:val="ListParagraph"/>
      </w:pPr>
      <w:r>
        <w:t>- Tenanted properties</w:t>
      </w:r>
    </w:p>
    <w:p w:rsidR="00AB1C9C" w:rsidRDefault="003F075A" w:rsidP="00AB1C9C">
      <w:pPr>
        <w:pStyle w:val="ListParagraph"/>
      </w:pPr>
      <w:r>
        <w:t>- Agricultural</w:t>
      </w:r>
    </w:p>
    <w:p w:rsidR="00AB1C9C" w:rsidRDefault="00AB1C9C" w:rsidP="00AB1C9C">
      <w:pPr>
        <w:pStyle w:val="ListParagraph"/>
      </w:pPr>
    </w:p>
    <w:p w:rsidR="00AB1C9C" w:rsidRDefault="003F075A" w:rsidP="00AB1C9C">
      <w:pPr>
        <w:pStyle w:val="ListParagraph"/>
      </w:pPr>
      <w:r>
        <w:t xml:space="preserve">PG&amp;E believes </w:t>
      </w:r>
      <w:r w:rsidR="00AB1C9C">
        <w:t xml:space="preserve">some of the tools </w:t>
      </w:r>
      <w:r>
        <w:t>under</w:t>
      </w:r>
      <w:r w:rsidR="00AB1C9C">
        <w:t xml:space="preserve"> d</w:t>
      </w:r>
      <w:r>
        <w:t>evelopment in-house</w:t>
      </w:r>
      <w:r w:rsidR="00AB1C9C">
        <w:t xml:space="preserve"> (i.e. on bill repayment) have the ability to move the market for a lot of these customers.</w:t>
      </w:r>
    </w:p>
    <w:p w:rsidR="00AB1C9C" w:rsidRDefault="00AB1C9C" w:rsidP="00AB1C9C">
      <w:pPr>
        <w:pStyle w:val="ListParagraph"/>
      </w:pPr>
    </w:p>
    <w:p w:rsidR="00C10DF4" w:rsidRDefault="00C10DF4" w:rsidP="00C10DF4">
      <w:pPr>
        <w:pStyle w:val="ListParagraph"/>
        <w:numPr>
          <w:ilvl w:val="0"/>
          <w:numId w:val="5"/>
        </w:numPr>
      </w:pPr>
      <w:r>
        <w:t>Should different scenarios consider different financing levels/schemes?</w:t>
      </w:r>
    </w:p>
    <w:p w:rsidR="00666CB7" w:rsidRDefault="00666CB7" w:rsidP="00666CB7">
      <w:pPr>
        <w:pStyle w:val="ListParagraph"/>
      </w:pPr>
    </w:p>
    <w:p w:rsidR="003F075A" w:rsidRDefault="00666CB7" w:rsidP="003F075A">
      <w:pPr>
        <w:pStyle w:val="ListParagraph"/>
      </w:pPr>
      <w:r w:rsidRPr="00666CB7">
        <w:rPr>
          <w:b/>
        </w:rPr>
        <w:t>PG&amp;E response</w:t>
      </w:r>
      <w:r>
        <w:t xml:space="preserve">: </w:t>
      </w:r>
      <w:r w:rsidR="003F075A">
        <w:t xml:space="preserve"> </w:t>
      </w:r>
      <w:r w:rsidR="003F075A">
        <w:t>Yes</w:t>
      </w:r>
      <w:r w:rsidR="003F075A">
        <w:t xml:space="preserve"> and N</w:t>
      </w:r>
      <w:r w:rsidR="003F075A">
        <w:t>o</w:t>
      </w:r>
    </w:p>
    <w:p w:rsidR="003F075A" w:rsidRDefault="003F075A" w:rsidP="003F075A">
      <w:pPr>
        <w:pStyle w:val="ListParagraph"/>
      </w:pPr>
    </w:p>
    <w:p w:rsidR="00996C96" w:rsidRDefault="003F075A" w:rsidP="00996C96">
      <w:pPr>
        <w:pStyle w:val="ListParagraph"/>
      </w:pPr>
      <w:r>
        <w:t xml:space="preserve">Most EE will be financed – however </w:t>
      </w:r>
      <w:r>
        <w:t>PG&amp;E doesn’t think it is appropriate to assume this financing</w:t>
      </w:r>
      <w:r>
        <w:t xml:space="preserve"> will use EE financing tools. </w:t>
      </w:r>
      <w:r>
        <w:t>T</w:t>
      </w:r>
      <w:r>
        <w:t xml:space="preserve">raditional financing tools are </w:t>
      </w:r>
      <w:r>
        <w:t xml:space="preserve">more </w:t>
      </w:r>
      <w:r>
        <w:t xml:space="preserve">likely to be the </w:t>
      </w:r>
      <w:r>
        <w:t xml:space="preserve">financing source </w:t>
      </w:r>
      <w:r>
        <w:t>(</w:t>
      </w:r>
      <w:r>
        <w:t xml:space="preserve">e.g., </w:t>
      </w:r>
      <w:r>
        <w:t>bonds for government/large companies, mort</w:t>
      </w:r>
      <w:r w:rsidR="00996C96">
        <w:t xml:space="preserve">gages/HELOCs for residential). </w:t>
      </w:r>
    </w:p>
    <w:p w:rsidR="00996C96" w:rsidRDefault="00996C96" w:rsidP="00996C96">
      <w:pPr>
        <w:pStyle w:val="ListParagraph"/>
      </w:pPr>
    </w:p>
    <w:p w:rsidR="003F075A" w:rsidRDefault="003F075A" w:rsidP="003F075A">
      <w:pPr>
        <w:pStyle w:val="ListParagraph"/>
      </w:pPr>
      <w:r>
        <w:lastRenderedPageBreak/>
        <w:t xml:space="preserve">PG&amp;E would expect to </w:t>
      </w:r>
      <w:r>
        <w:t>see greater participa</w:t>
      </w:r>
      <w:r>
        <w:t>tion in EE financing tools</w:t>
      </w:r>
      <w:r w:rsidR="00F31D2C">
        <w:t xml:space="preserve"> as goals increase. However,</w:t>
      </w:r>
      <w:r w:rsidR="00996C96">
        <w:t xml:space="preserve"> </w:t>
      </w:r>
      <w:r w:rsidR="00F31D2C">
        <w:t>t</w:t>
      </w:r>
      <w:r w:rsidR="00F31D2C">
        <w:t>he financing schemes that are put in place are unlikely to change much under different goal scenarios.</w:t>
      </w:r>
      <w:r w:rsidR="00F31D2C">
        <w:t xml:space="preserve"> </w:t>
      </w:r>
      <w:r w:rsidR="00996C96">
        <w:t xml:space="preserve">So </w:t>
      </w:r>
      <w:r w:rsidR="008B3337">
        <w:t xml:space="preserve">PG&amp;E believes </w:t>
      </w:r>
      <w:r w:rsidR="00F31D2C">
        <w:t xml:space="preserve">that incentive level is the </w:t>
      </w:r>
      <w:bookmarkStart w:id="0" w:name="_GoBack"/>
      <w:bookmarkEnd w:id="0"/>
      <w:r w:rsidR="00F31D2C">
        <w:t>primary driver of EE financing investments.</w:t>
      </w:r>
    </w:p>
    <w:p w:rsidR="00C10DF4" w:rsidRPr="00E96D13" w:rsidRDefault="00C10DF4" w:rsidP="00C10DF4">
      <w:pPr>
        <w:rPr>
          <w:u w:val="single"/>
        </w:rPr>
      </w:pPr>
      <w:r w:rsidRPr="00E96D13">
        <w:rPr>
          <w:u w:val="single"/>
        </w:rPr>
        <w:t>Non-Equipment Savings (Scenarios)</w:t>
      </w:r>
    </w:p>
    <w:p w:rsidR="00C10DF4" w:rsidRDefault="00C10DF4" w:rsidP="00C10DF4">
      <w:pPr>
        <w:pStyle w:val="ListParagraph"/>
        <w:numPr>
          <w:ilvl w:val="0"/>
          <w:numId w:val="6"/>
        </w:numPr>
      </w:pPr>
      <w:r>
        <w:t>Should BROs modeling contain sensitivity around participation levels?</w:t>
      </w:r>
    </w:p>
    <w:p w:rsidR="003B2EE0" w:rsidRDefault="003B2EE0" w:rsidP="003B2EE0">
      <w:pPr>
        <w:pStyle w:val="ListParagraph"/>
      </w:pPr>
    </w:p>
    <w:p w:rsidR="003B2EE0" w:rsidRDefault="003B2EE0" w:rsidP="003B2EE0">
      <w:pPr>
        <w:pStyle w:val="ListParagraph"/>
      </w:pPr>
      <w:r w:rsidRPr="00666CB7">
        <w:rPr>
          <w:b/>
        </w:rPr>
        <w:t>PG&amp;E response</w:t>
      </w:r>
      <w:r>
        <w:t>: Yes, this is reasonable, as long as the scenario used for goal setting is aligned with current practices, as has been used in previous versions of the potential study.</w:t>
      </w:r>
    </w:p>
    <w:p w:rsidR="003B2EE0" w:rsidRDefault="003B2EE0" w:rsidP="003B2EE0">
      <w:pPr>
        <w:pStyle w:val="ListParagraph"/>
      </w:pPr>
    </w:p>
    <w:p w:rsidR="00C10DF4" w:rsidRDefault="00C10DF4" w:rsidP="00C10DF4">
      <w:pPr>
        <w:pStyle w:val="ListParagraph"/>
        <w:numPr>
          <w:ilvl w:val="0"/>
          <w:numId w:val="6"/>
        </w:numPr>
      </w:pPr>
      <w:r>
        <w:t>What is the basis for considering multiple participation levels?</w:t>
      </w:r>
    </w:p>
    <w:p w:rsidR="003B2EE0" w:rsidRDefault="003B2EE0" w:rsidP="003B2EE0">
      <w:pPr>
        <w:pStyle w:val="ListParagraph"/>
      </w:pPr>
    </w:p>
    <w:p w:rsidR="003B2EE0" w:rsidRDefault="003B2EE0" w:rsidP="003B2EE0">
      <w:pPr>
        <w:pStyle w:val="ListParagraph"/>
      </w:pPr>
      <w:r w:rsidRPr="00666CB7">
        <w:rPr>
          <w:b/>
        </w:rPr>
        <w:t>PG&amp;E response</w:t>
      </w:r>
      <w:r>
        <w:t>: Current levels of participation, as well as reasonable upper and lower ranges around current levels.</w:t>
      </w:r>
    </w:p>
    <w:p w:rsidR="00C10DF4" w:rsidRPr="00E96D13" w:rsidRDefault="00C10DF4" w:rsidP="00C10DF4">
      <w:pPr>
        <w:rPr>
          <w:u w:val="single"/>
        </w:rPr>
      </w:pPr>
      <w:r w:rsidRPr="00E96D13">
        <w:rPr>
          <w:u w:val="single"/>
        </w:rPr>
        <w:t>Pathways to future savings (Scenarios)</w:t>
      </w:r>
    </w:p>
    <w:p w:rsidR="00C10DF4" w:rsidRDefault="00C10DF4" w:rsidP="00C10DF4">
      <w:pPr>
        <w:pStyle w:val="ListParagraph"/>
        <w:numPr>
          <w:ilvl w:val="0"/>
          <w:numId w:val="7"/>
        </w:numPr>
      </w:pPr>
      <w:r>
        <w:t>Did we miss any variables/ levers for consideration?</w:t>
      </w:r>
    </w:p>
    <w:p w:rsidR="003B2EE0" w:rsidRDefault="003B2EE0" w:rsidP="003B2EE0">
      <w:pPr>
        <w:pStyle w:val="ListParagraph"/>
      </w:pPr>
    </w:p>
    <w:p w:rsidR="003B2EE0" w:rsidRDefault="003B2EE0" w:rsidP="003B2EE0">
      <w:pPr>
        <w:pStyle w:val="ListParagraph"/>
      </w:pPr>
      <w:r w:rsidRPr="00666CB7">
        <w:rPr>
          <w:b/>
        </w:rPr>
        <w:t>PG&amp;E response</w:t>
      </w:r>
      <w:r>
        <w:t xml:space="preserve">: The slide deck discusses </w:t>
      </w:r>
      <w:proofErr w:type="gramStart"/>
      <w:r>
        <w:t>awareness,</w:t>
      </w:r>
      <w:proofErr w:type="gramEnd"/>
      <w:r>
        <w:t xml:space="preserve"> however, it doesn’t indicate what “aggressive marketing” might be.</w:t>
      </w:r>
    </w:p>
    <w:p w:rsidR="003B2EE0" w:rsidRDefault="003B2EE0" w:rsidP="003B2EE0">
      <w:pPr>
        <w:pStyle w:val="ListParagraph"/>
      </w:pPr>
    </w:p>
    <w:p w:rsidR="00C10DF4" w:rsidRDefault="00C10DF4" w:rsidP="00C10DF4">
      <w:pPr>
        <w:pStyle w:val="ListParagraph"/>
        <w:numPr>
          <w:ilvl w:val="0"/>
          <w:numId w:val="7"/>
        </w:numPr>
      </w:pPr>
      <w:r>
        <w:t>What variables/levers should be highlighted in our assemble of the pathways</w:t>
      </w:r>
    </w:p>
    <w:p w:rsidR="003B2EE0" w:rsidRDefault="003B2EE0" w:rsidP="003B2EE0">
      <w:pPr>
        <w:pStyle w:val="ListParagraph"/>
      </w:pPr>
    </w:p>
    <w:p w:rsidR="003B2EE0" w:rsidRDefault="003B2EE0" w:rsidP="003B2EE0">
      <w:pPr>
        <w:pStyle w:val="ListParagraph"/>
      </w:pPr>
      <w:r w:rsidRPr="00666CB7">
        <w:rPr>
          <w:b/>
        </w:rPr>
        <w:t>PG&amp;E response</w:t>
      </w:r>
      <w:r>
        <w:t>: Cost-effectiveness, awareness, and incentive level</w:t>
      </w:r>
    </w:p>
    <w:p w:rsidR="00C10DF4" w:rsidRPr="00E96D13" w:rsidRDefault="00C10DF4" w:rsidP="00C10DF4">
      <w:pPr>
        <w:rPr>
          <w:u w:val="single"/>
        </w:rPr>
      </w:pPr>
      <w:r w:rsidRPr="00E96D13">
        <w:rPr>
          <w:u w:val="single"/>
        </w:rPr>
        <w:t>Cumulative Savings</w:t>
      </w:r>
    </w:p>
    <w:p w:rsidR="00C10DF4" w:rsidRDefault="00C10DF4" w:rsidP="00C10DF4">
      <w:pPr>
        <w:pStyle w:val="ListParagraph"/>
        <w:numPr>
          <w:ilvl w:val="0"/>
          <w:numId w:val="8"/>
        </w:numPr>
      </w:pPr>
      <w:r>
        <w:t xml:space="preserve">When do we start cumulating savings? </w:t>
      </w:r>
    </w:p>
    <w:p w:rsidR="00C10DF4" w:rsidRDefault="00C10DF4" w:rsidP="00C10DF4">
      <w:pPr>
        <w:pStyle w:val="ListParagraph"/>
        <w:numPr>
          <w:ilvl w:val="0"/>
          <w:numId w:val="8"/>
        </w:numPr>
      </w:pPr>
      <w:r>
        <w:t>There is no new research to inform treatment of decay/</w:t>
      </w:r>
      <w:proofErr w:type="spellStart"/>
      <w:r>
        <w:t>reparticipation</w:t>
      </w:r>
      <w:proofErr w:type="spellEnd"/>
      <w:r>
        <w:t xml:space="preserve"> in the PG model. What should we assume about decay?</w:t>
      </w:r>
    </w:p>
    <w:p w:rsidR="00C10DF4" w:rsidRDefault="00C10DF4" w:rsidP="00C10DF4">
      <w:pPr>
        <w:pStyle w:val="ListParagraph"/>
        <w:numPr>
          <w:ilvl w:val="1"/>
          <w:numId w:val="8"/>
        </w:numPr>
      </w:pPr>
      <w:r>
        <w:t xml:space="preserve">Starting with the 2013 PG model, </w:t>
      </w:r>
      <w:proofErr w:type="spellStart"/>
      <w:r>
        <w:t>reparticipation</w:t>
      </w:r>
      <w:proofErr w:type="spellEnd"/>
      <w:r>
        <w:t xml:space="preserve"> estimated based on market penetration rates (varies by measure)</w:t>
      </w:r>
    </w:p>
    <w:p w:rsidR="00C10DF4" w:rsidRDefault="00C10DF4" w:rsidP="00C10DF4">
      <w:pPr>
        <w:pStyle w:val="ListParagraph"/>
        <w:numPr>
          <w:ilvl w:val="1"/>
          <w:numId w:val="8"/>
        </w:numPr>
      </w:pPr>
      <w:r>
        <w:t xml:space="preserve">2011 PG model assumed a blanket </w:t>
      </w:r>
      <w:proofErr w:type="spellStart"/>
      <w:r>
        <w:t>reparticipation</w:t>
      </w:r>
      <w:proofErr w:type="spellEnd"/>
      <w:r>
        <w:t xml:space="preserve"> rate of 50% based on CPUC D. 09-09-047</w:t>
      </w:r>
    </w:p>
    <w:p w:rsidR="00C10DF4" w:rsidRDefault="00C10DF4" w:rsidP="00C10DF4">
      <w:pPr>
        <w:pStyle w:val="ListParagraph"/>
        <w:numPr>
          <w:ilvl w:val="0"/>
          <w:numId w:val="8"/>
        </w:numPr>
      </w:pPr>
      <w:r>
        <w:t>D. 09-09-047 required that the utilities make up 50% of the savings decay as measures expire.</w:t>
      </w:r>
    </w:p>
    <w:p w:rsidR="00C10DF4" w:rsidRDefault="00C10DF4" w:rsidP="00C10DF4">
      <w:pPr>
        <w:pStyle w:val="ListParagraph"/>
        <w:numPr>
          <w:ilvl w:val="1"/>
          <w:numId w:val="8"/>
        </w:numPr>
      </w:pPr>
      <w:r>
        <w:t>2015 PG study annual market potential included only new participants</w:t>
      </w:r>
    </w:p>
    <w:p w:rsidR="00C10DF4" w:rsidRDefault="00C10DF4" w:rsidP="00C10DF4">
      <w:pPr>
        <w:pStyle w:val="ListParagraph"/>
        <w:numPr>
          <w:ilvl w:val="1"/>
          <w:numId w:val="8"/>
        </w:numPr>
      </w:pPr>
      <w:r>
        <w:t>Thoughts on how to address with regard to cumulative savings</w:t>
      </w:r>
    </w:p>
    <w:p w:rsidR="00666CB7" w:rsidRDefault="00666CB7" w:rsidP="00666CB7">
      <w:pPr>
        <w:ind w:left="720" w:hanging="720"/>
      </w:pPr>
      <w:r>
        <w:tab/>
      </w:r>
      <w:r w:rsidR="003B2EE0" w:rsidRPr="00666CB7">
        <w:rPr>
          <w:b/>
        </w:rPr>
        <w:t>PG&amp;E response</w:t>
      </w:r>
      <w:r w:rsidR="003B2EE0">
        <w:t xml:space="preserve">: </w:t>
      </w:r>
      <w:r>
        <w:t xml:space="preserve">PG&amp;E believes that decay occurs much less frequently than past Commission direction </w:t>
      </w:r>
      <w:r w:rsidR="003B2EE0">
        <w:t xml:space="preserve">indicated </w:t>
      </w:r>
      <w:r>
        <w:t xml:space="preserve">(e.g. 50% of savings decay assumption included in D.09-09-047 and which was the basis for the decay make up requirement).  This became clear in the 2011 Potential </w:t>
      </w:r>
      <w:r>
        <w:lastRenderedPageBreak/>
        <w:t xml:space="preserve">Study when decay make up savings was as large as or even larger than program goals in those years.  </w:t>
      </w:r>
      <w:r w:rsidR="003B2EE0">
        <w:t>The u</w:t>
      </w:r>
      <w:r>
        <w:t>ncertain impact of future codes and standards makes this exercise even more complicated.  PG&amp;E recommends carefully separating out codes and standards impacts</w:t>
      </w:r>
      <w:r w:rsidR="003B2EE0">
        <w:t xml:space="preserve">, even if broad assumptions have to be applied to account for this (given that little is typically known about </w:t>
      </w:r>
      <w:r w:rsidR="007C39D6">
        <w:t>what will be included in C&amp;S several years into the future).  PG&amp;E believes a large portion of the remaining savings will continue to persist into the future.</w:t>
      </w:r>
    </w:p>
    <w:sectPr w:rsidR="00666C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A03D8"/>
    <w:multiLevelType w:val="hybridMultilevel"/>
    <w:tmpl w:val="B9A0D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05103"/>
    <w:multiLevelType w:val="hybridMultilevel"/>
    <w:tmpl w:val="3034C6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F0423"/>
    <w:multiLevelType w:val="hybridMultilevel"/>
    <w:tmpl w:val="E990C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AE1CB6"/>
    <w:multiLevelType w:val="hybridMultilevel"/>
    <w:tmpl w:val="3BA215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1B7D9F"/>
    <w:multiLevelType w:val="hybridMultilevel"/>
    <w:tmpl w:val="28F6F2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0056EC"/>
    <w:multiLevelType w:val="hybridMultilevel"/>
    <w:tmpl w:val="3B8AA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406BBD"/>
    <w:multiLevelType w:val="hybridMultilevel"/>
    <w:tmpl w:val="3B8AA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F63CF7"/>
    <w:multiLevelType w:val="hybridMultilevel"/>
    <w:tmpl w:val="3A88D6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7"/>
  </w:num>
  <w:num w:numId="5">
    <w:abstractNumId w:val="0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DF4"/>
    <w:rsid w:val="0006365F"/>
    <w:rsid w:val="00094D0B"/>
    <w:rsid w:val="00360EEE"/>
    <w:rsid w:val="003629D9"/>
    <w:rsid w:val="003B2EE0"/>
    <w:rsid w:val="003F075A"/>
    <w:rsid w:val="00666CB7"/>
    <w:rsid w:val="007B6342"/>
    <w:rsid w:val="007C39D6"/>
    <w:rsid w:val="008B3337"/>
    <w:rsid w:val="00996C96"/>
    <w:rsid w:val="00AB1C9C"/>
    <w:rsid w:val="00B656DE"/>
    <w:rsid w:val="00C10DF4"/>
    <w:rsid w:val="00C859F6"/>
    <w:rsid w:val="00E96D13"/>
    <w:rsid w:val="00F31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D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D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49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894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Pacific Gas and Electric</Company>
  <LinksUpToDate>false</LinksUpToDate>
  <CharactersWithSpaces>5979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Nickerman, Luke</dc:creator>
  <cp:lastModifiedBy>Wilkerson, Jordan</cp:lastModifiedBy>
  <cp:revision>5</cp:revision>
  <dcterms:created xsi:type="dcterms:W3CDTF">2016-12-23T16:20:00Z</dcterms:created>
  <dcterms:modified xsi:type="dcterms:W3CDTF">2016-12-23T16:43:00Z</dcterms:modified>
</cp:coreProperties>
</file>